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BA1A81" w:rsidRPr="00BA1A81">
        <w:rPr>
          <w:b/>
          <w:i/>
          <w:noProof/>
          <w:sz w:val="28"/>
        </w:rPr>
        <w:t>R3-21220</w:t>
      </w:r>
      <w:r w:rsidR="00BA1A81">
        <w:rPr>
          <w:b/>
          <w:i/>
          <w:noProof/>
          <w:sz w:val="28"/>
        </w:rPr>
        <w:t>1</w:t>
      </w:r>
      <w:bookmarkStart w:id="1" w:name="_GoBack"/>
      <w:bookmarkEnd w:id="1"/>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06785">
        <w:rPr>
          <w:rFonts w:ascii="Arial" w:hAnsi="Arial"/>
          <w:sz w:val="24"/>
          <w:lang w:eastAsia="zh-CN"/>
        </w:rPr>
        <w:t>Keeping UE context in the source cell</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82115A">
        <w:rPr>
          <w:rStyle w:val="a4"/>
          <w:lang w:val="en-GB"/>
        </w:rPr>
        <w:t>, Qualcomm</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06785">
        <w:rPr>
          <w:rFonts w:ascii="Arial" w:hAnsi="Arial"/>
          <w:sz w:val="24"/>
          <w:lang w:eastAsia="zh-CN"/>
        </w:rPr>
        <w:t>8.1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06785">
        <w:rPr>
          <w:rFonts w:ascii="Arial" w:hAnsi="Arial"/>
          <w:sz w:val="24"/>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303708" w:rsidP="000A4C5A">
      <w:pPr>
        <w:rPr>
          <w:lang w:eastAsia="zh-CN"/>
        </w:rPr>
      </w:pPr>
      <w:r w:rsidRPr="00303708">
        <w:rPr>
          <w:lang w:eastAsia="zh-CN"/>
        </w:rPr>
        <w:t xml:space="preserve">RAN3 received an LSin </w:t>
      </w:r>
      <w:r w:rsidR="00763853">
        <w:rPr>
          <w:lang w:eastAsia="zh-CN"/>
        </w:rPr>
        <w:t>(</w:t>
      </w:r>
      <w:r w:rsidRPr="00303708">
        <w:rPr>
          <w:lang w:eastAsia="zh-CN"/>
        </w:rPr>
        <w:t>R2-2102149</w:t>
      </w:r>
      <w:r w:rsidR="00763853">
        <w:rPr>
          <w:lang w:eastAsia="zh-CN"/>
        </w:rPr>
        <w:t>)</w:t>
      </w:r>
      <w:r w:rsidR="001551A2" w:rsidRPr="007D3E81">
        <w:rPr>
          <w:lang w:eastAsia="zh-CN"/>
        </w:rPr>
        <w:t xml:space="preserve"> </w:t>
      </w:r>
      <w:r>
        <w:rPr>
          <w:lang w:eastAsia="zh-CN"/>
        </w:rPr>
        <w:t xml:space="preserve">regarding </w:t>
      </w:r>
      <w:r w:rsidRPr="00303708">
        <w:rPr>
          <w:lang w:eastAsia="zh-CN"/>
        </w:rPr>
        <w:t>keeping UE context in the source cell. This paper propose a response to RAN2.</w:t>
      </w:r>
    </w:p>
    <w:p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rsidR="00763853" w:rsidRDefault="00763853" w:rsidP="001551A2">
      <w:pPr>
        <w:rPr>
          <w:lang w:eastAsia="zh-CN"/>
        </w:rPr>
      </w:pPr>
      <w:r w:rsidRPr="00763853">
        <w:rPr>
          <w:lang w:eastAsia="zh-CN"/>
        </w:rPr>
        <w:t xml:space="preserve">The contents of RLF report has been discussed in multiple releases. </w:t>
      </w:r>
      <w:r w:rsidR="00D766E3">
        <w:rPr>
          <w:lang w:eastAsia="zh-CN"/>
        </w:rPr>
        <w:t>This is a short summary of the progress</w:t>
      </w:r>
    </w:p>
    <w:p w:rsidR="00763853" w:rsidRPr="007D3E81" w:rsidRDefault="00763853" w:rsidP="00D766E3">
      <w:pPr>
        <w:ind w:left="284"/>
        <w:rPr>
          <w:lang w:eastAsia="zh-CN"/>
        </w:rPr>
      </w:pPr>
      <w:r>
        <w:rPr>
          <w:lang w:eastAsia="zh-CN"/>
        </w:rPr>
        <w:t xml:space="preserve">Rel9: </w:t>
      </w:r>
      <w:r w:rsidR="00D766E3">
        <w:rPr>
          <w:rFonts w:eastAsia="SimSun"/>
          <w:kern w:val="2"/>
          <w:lang w:eastAsia="zh-CN"/>
        </w:rPr>
        <w:t>RLF report containing measurement results</w:t>
      </w:r>
    </w:p>
    <w:p w:rsidR="001551A2" w:rsidRDefault="00763853" w:rsidP="00D766E3">
      <w:pPr>
        <w:ind w:left="284"/>
        <w:rPr>
          <w:lang w:eastAsia="zh-CN"/>
        </w:rPr>
      </w:pPr>
      <w:r>
        <w:rPr>
          <w:lang w:eastAsia="zh-CN"/>
        </w:rPr>
        <w:t xml:space="preserve">Rel10: </w:t>
      </w:r>
      <w:r w:rsidR="00A86F44">
        <w:rPr>
          <w:lang w:eastAsia="zh-CN"/>
        </w:rPr>
        <w:t xml:space="preserve">Inter RAT </w:t>
      </w:r>
      <w:r w:rsidR="00734936">
        <w:rPr>
          <w:lang w:eastAsia="zh-CN"/>
        </w:rPr>
        <w:t xml:space="preserve">MRO, reporting at RRC context setup, </w:t>
      </w:r>
      <w:r w:rsidR="00A86F44">
        <w:rPr>
          <w:lang w:eastAsia="zh-CN"/>
        </w:rPr>
        <w:t xml:space="preserve">storing </w:t>
      </w:r>
      <w:r w:rsidR="00D766E3">
        <w:rPr>
          <w:lang w:eastAsia="zh-CN"/>
        </w:rPr>
        <w:t xml:space="preserve">RLF report </w:t>
      </w:r>
      <w:r w:rsidR="00A86F44">
        <w:rPr>
          <w:lang w:eastAsia="zh-CN"/>
        </w:rPr>
        <w:t>for 48 hours</w:t>
      </w:r>
      <w:r w:rsidR="00D766E3">
        <w:rPr>
          <w:lang w:eastAsia="zh-CN"/>
        </w:rPr>
        <w:t>, including cell identities</w:t>
      </w:r>
    </w:p>
    <w:p w:rsidR="00D766E3" w:rsidRDefault="00D766E3" w:rsidP="00D766E3">
      <w:pPr>
        <w:ind w:left="284"/>
        <w:rPr>
          <w:lang w:eastAsia="zh-CN"/>
        </w:rPr>
      </w:pPr>
      <w:r>
        <w:rPr>
          <w:lang w:eastAsia="zh-CN"/>
        </w:rPr>
        <w:t xml:space="preserve">Rel11: </w:t>
      </w:r>
      <w:r w:rsidR="00734936">
        <w:rPr>
          <w:lang w:eastAsia="zh-CN"/>
        </w:rPr>
        <w:t xml:space="preserve">Including </w:t>
      </w:r>
      <w:r>
        <w:rPr>
          <w:lang w:eastAsia="zh-CN"/>
        </w:rPr>
        <w:t>C-RNTI, TimeSinceFailure</w:t>
      </w:r>
    </w:p>
    <w:p w:rsidR="00D766E3" w:rsidRDefault="00734936" w:rsidP="001551A2">
      <w:pPr>
        <w:rPr>
          <w:lang w:eastAsia="zh-CN"/>
        </w:rPr>
      </w:pPr>
      <w:r>
        <w:rPr>
          <w:lang w:eastAsia="zh-CN"/>
        </w:rPr>
        <w:t xml:space="preserve">Initially, the principle was to have an immediate RLF indication from target to source, including C-RNTI to enable context matching and RLF report to include UE measurements. But when inter RAT MRO was introduced, there was also an agreement to provide the report at RRC connection setup and to support the delay of the RLF report for up to 48 hours. Therefore, C-RNTI and TimeSinceFailure was included to enable context matching in source cell. </w:t>
      </w:r>
    </w:p>
    <w:p w:rsidR="00734936" w:rsidRPr="007D3E81" w:rsidRDefault="00734936" w:rsidP="001551A2">
      <w:pPr>
        <w:rPr>
          <w:lang w:eastAsia="zh-CN"/>
        </w:rPr>
      </w:pPr>
      <w:r>
        <w:rPr>
          <w:lang w:eastAsia="zh-CN"/>
        </w:rPr>
        <w:t xml:space="preserve">During these discussion in the past, there was also requests for adding more information in the UE report. It was however agreed that if the network has the information, and the network wants to use this information, the network shall store this in the context and retrieve </w:t>
      </w:r>
      <w:r w:rsidR="00CD72A5">
        <w:rPr>
          <w:lang w:eastAsia="zh-CN"/>
        </w:rPr>
        <w:t xml:space="preserve">when needed and that it is enough if the UE provides enough information to retrieve the context. </w:t>
      </w:r>
    </w:p>
    <w:p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rsidR="00CD72A5" w:rsidRDefault="00734936" w:rsidP="001551A2">
      <w:pPr>
        <w:rPr>
          <w:lang w:eastAsia="zh-CN"/>
        </w:rPr>
      </w:pPr>
      <w:r>
        <w:rPr>
          <w:lang w:eastAsia="zh-CN"/>
        </w:rPr>
        <w:t xml:space="preserve">The details of the MRO functionality is very much </w:t>
      </w:r>
      <w:r w:rsidR="00CD72A5">
        <w:rPr>
          <w:lang w:eastAsia="zh-CN"/>
        </w:rPr>
        <w:t xml:space="preserve">depending on the implementation. Some may choose to implement the most basic version, whereas others may choose to implement a more advanced MRO. One simple example is if a node choose to have differentiated mobility handling for different UEs. This could e.g. be based on UE mobility. A more advanced MRO algorithm may therefore want to classify the different UEs and apply different MRO adjustment and different mobility parameters to these different classes. </w:t>
      </w:r>
    </w:p>
    <w:p w:rsidR="00CD72A5" w:rsidRDefault="00CD72A5" w:rsidP="001551A2">
      <w:pPr>
        <w:rPr>
          <w:lang w:eastAsia="zh-CN"/>
        </w:rPr>
      </w:pPr>
      <w:r>
        <w:rPr>
          <w:lang w:eastAsia="zh-CN"/>
        </w:rPr>
        <w:t>If the UE reporting is designed to include all implementation options of the network, we may end up with a very large UE report, that may turn out to be useless if the network has not implemented this specific flavour of MRO.</w:t>
      </w:r>
      <w:r w:rsidR="00F04AFB">
        <w:rPr>
          <w:lang w:eastAsia="zh-CN"/>
        </w:rPr>
        <w:t xml:space="preserve"> </w:t>
      </w:r>
    </w:p>
    <w:p w:rsidR="00F04AFB" w:rsidRDefault="00F04AFB" w:rsidP="001551A2">
      <w:pPr>
        <w:rPr>
          <w:lang w:eastAsia="zh-CN"/>
        </w:rPr>
      </w:pPr>
      <w:r>
        <w:rPr>
          <w:lang w:eastAsia="zh-CN"/>
        </w:rPr>
        <w:t xml:space="preserve">Therefore, we believe it is important to keep the principle that UE only report information unknown to the network. </w:t>
      </w:r>
    </w:p>
    <w:p w:rsidR="00CD72A5" w:rsidRDefault="00CD72A5" w:rsidP="001551A2">
      <w:pPr>
        <w:rPr>
          <w:lang w:eastAsia="zh-CN"/>
        </w:rPr>
      </w:pPr>
      <w:r>
        <w:rPr>
          <w:lang w:eastAsia="zh-CN"/>
        </w:rPr>
        <w:t>The question from RAN2 is included below:</w:t>
      </w:r>
    </w:p>
    <w:p w:rsidR="00185A40" w:rsidRDefault="00CD72A5" w:rsidP="00CD72A5">
      <w:pPr>
        <w:pStyle w:val="Proposal"/>
        <w:numPr>
          <w:ilvl w:val="0"/>
          <w:numId w:val="0"/>
        </w:numPr>
        <w:rPr>
          <w:lang w:eastAsia="zh-CN"/>
        </w:rPr>
      </w:pPr>
      <w:r>
        <w:rPr>
          <w:noProof/>
          <w:lang w:val="en-US"/>
        </w:rPr>
        <w:lastRenderedPageBreak/>
        <mc:AlternateContent>
          <mc:Choice Requires="wps">
            <w:drawing>
              <wp:inline distT="0" distB="0" distL="0" distR="0" wp14:anchorId="52B0A43C" wp14:editId="5D9980FD">
                <wp:extent cx="6122035" cy="913453"/>
                <wp:effectExtent l="0" t="0" r="24765" b="22860"/>
                <wp:docPr id="1" name="Text Box 1"/>
                <wp:cNvGraphicFramePr/>
                <a:graphic xmlns:a="http://schemas.openxmlformats.org/drawingml/2006/main">
                  <a:graphicData uri="http://schemas.microsoft.com/office/word/2010/wordprocessingShape">
                    <wps:wsp>
                      <wps:cNvSpPr txBox="1"/>
                      <wps:spPr>
                        <a:xfrm>
                          <a:off x="0" y="0"/>
                          <a:ext cx="6122035" cy="91345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D72A5" w:rsidRDefault="00CD72A5" w:rsidP="00CD72A5">
                            <w:pPr>
                              <w:pStyle w:val="ListParagraph"/>
                              <w:numPr>
                                <w:ilvl w:val="0"/>
                                <w:numId w:val="36"/>
                              </w:numPr>
                              <w:rPr>
                                <w:rFonts w:ascii="Arial" w:hAnsi="Arial" w:cs="Arial"/>
                                <w:bCs/>
                              </w:rPr>
                            </w:pPr>
                            <w:r>
                              <w:rPr>
                                <w:rFonts w:ascii="Arial" w:hAnsi="Arial" w:cs="Arial"/>
                                <w:bCs/>
                              </w:rPr>
                              <w:t>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w:t>
                            </w:r>
                          </w:p>
                          <w:p w:rsidR="00CD72A5" w:rsidRPr="00CD72A5" w:rsidRDefault="00CD72A5" w:rsidP="00CD72A5">
                            <w:pPr>
                              <w:rPr>
                                <w:rFonts w:ascii="Arial" w:eastAsiaTheme="minorEastAsia" w:hAnsi="Arial" w:cs="Arial"/>
                                <w:bCs/>
                                <w:lang w:eastAsia="zh-CN"/>
                              </w:rPr>
                            </w:pPr>
                            <w:r>
                              <w:rPr>
                                <w:rFonts w:ascii="Arial" w:eastAsiaTheme="minorEastAsia" w:hAnsi="Arial" w:cs="Arial"/>
                                <w:bCs/>
                                <w:lang w:eastAsia="zh-CN"/>
                              </w:rPr>
                              <w:t xml:space="preserve">Hence, RAN2 would like to ask RAN3 </w:t>
                            </w:r>
                            <w:r>
                              <w:rPr>
                                <w:rFonts w:ascii="Arial" w:hAnsi="Arial" w:cs="Arial"/>
                                <w:bCs/>
                              </w:rPr>
                              <w:t>whether the source cell will keep the UE context, at least until the RLF-report is received by the source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2B0A43C" id="_x0000_t202" coordsize="21600,21600" o:spt="202" path="m,l,21600r21600,l21600,xe">
                <v:stroke joinstyle="miter"/>
                <v:path gradientshapeok="t" o:connecttype="rect"/>
              </v:shapetype>
              <v:shape id="Text Box 1" o:spid="_x0000_s1026" type="#_x0000_t202" style="width:482.05pt;height:71.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WpTjwIAALAFAAAOAAAAZHJzL2Uyb0RvYy54bWysVEtPGzEQvlfqf7B8L5snhYgNSkGpKiFA&#10;hYqz47WJhddj2Sa76a/vjHcTAuVC1cvu2PPN6/PMnJ23tWUbFaIBV/Lh0YAz5SRUxj2W/Nf98ssJ&#10;ZzEJVwkLTpV8qyI/n3/+dNb4mRrBGmylAkMnLs4aX/J1Sn5WFFGuVS3iEXjlUKkh1CLhMTwWVRAN&#10;eq9tMRoMjosGQuUDSBUj3l52Sj7P/rVWMt1oHVVituSYW8rfkL8r+hbzMzF7DMKvjezTEP+QRS2M&#10;w6B7V5ciCfYczF+uaiMDRNDpSEJdgNZGqlwDVjMcvKnmbi28yrUgOdHvaYr/z6283twGZip8O86c&#10;qPGJ7lWb2Ddo2ZDYaXycIejOIyy1eE3I/j7iJRXd6lDTH8thqEeet3tuyZnEy+PhaDQYTzmTqDsd&#10;jifTMbkpXqx9iOm7gpqRUPKAb5cpFZurmDroDkLBIlhTLY21+UD9oi5sYBuBL21TzhGdv0JZxxrM&#10;ZDwdZMevdOR6b7+yQj716R2g0J91FE7lzurTIoY6JrKUtlYRxrqfSiOzmZB3chRSKrfPM6MJpbGi&#10;jxj2+JesPmLc1YEWOTK4tDeujYPQsfSa2uppR63u8PiGB3WTmNpV23fICqotNk6AbvCil0uDRF+J&#10;mG5FwEnDXsHtkW7woy3g60AvcbaG8Pu9e8LjAKCWswYnt+QOVwtn9ofDwTgdTiY06PkwmX4d4SEc&#10;alaHGvdcXwA2DDY/5pZFwie7E3WA+gFXzIJioko4iZFLnnbiReq2Ca4oqRaLDMLR9iJduTsvyTWR&#10;S+113z6I4Pv2TjgY17CbcDF70+UdliyjXzwnWJo8AkRvx2lPO66FPET9CqO9c3jOqJdFO/8DAAD/&#10;/wMAUEsDBBQABgAIAAAAIQBel9Ry3QAAAAUBAAAPAAAAZHJzL2Rvd25yZXYueG1sTI9BS8NAEIXv&#10;Qv/DMgVvdhNbgo3ZlFIVFA/FKp432WmSdnc2ZLdt/PeOXvTyYHiP974pVqOz4oxD6DwpSGcJCKTa&#10;m44aBR/vTzd3IELUZLT1hAq+MMCqnFwVOjf+Qm943sVGcAmFXCtoY+xzKUPdotNh5nsk9vZ+cDry&#10;OTTSDPrC5c7K2yTJpNMd8UKre9y0WB93J6egG7PnpPpsrDu+pi/bR3nYHOYPSl1Px/U9iIhj/AvD&#10;Dz6jQ8lMlT+RCcIq4Efir7K3zBYpiIpDi/kSZFnI//TlNwAAAP//AwBQSwECLQAUAAYACAAAACEA&#10;toM4kv4AAADhAQAAEwAAAAAAAAAAAAAAAAAAAAAAW0NvbnRlbnRfVHlwZXNdLnhtbFBLAQItABQA&#10;BgAIAAAAIQA4/SH/1gAAAJQBAAALAAAAAAAAAAAAAAAAAC8BAABfcmVscy8ucmVsc1BLAQItABQA&#10;BgAIAAAAIQBTZWpTjwIAALAFAAAOAAAAAAAAAAAAAAAAAC4CAABkcnMvZTJvRG9jLnhtbFBLAQIt&#10;ABQABgAIAAAAIQBel9Ry3QAAAAUBAAAPAAAAAAAAAAAAAAAAAOkEAABkcnMvZG93bnJldi54bWxQ&#10;SwUGAAAAAAQABADzAAAA8wUAAAAA&#10;" fillcolor="white [3201]" strokeweight=".5pt">
                <v:textbox style="mso-fit-shape-to-text:t">
                  <w:txbxContent>
                    <w:p w:rsidR="00CD72A5" w:rsidRDefault="00CD72A5" w:rsidP="00CD72A5">
                      <w:pPr>
                        <w:pStyle w:val="ListParagraph"/>
                        <w:numPr>
                          <w:ilvl w:val="0"/>
                          <w:numId w:val="36"/>
                        </w:numPr>
                        <w:rPr>
                          <w:rFonts w:ascii="Arial" w:hAnsi="Arial" w:cs="Arial"/>
                          <w:bCs/>
                        </w:rPr>
                      </w:pPr>
                      <w:r>
                        <w:rPr>
                          <w:rFonts w:ascii="Arial" w:hAnsi="Arial" w:cs="Arial"/>
                          <w:bCs/>
                        </w:rPr>
                        <w:t xml:space="preserve">Before agreeing on including an indication indicating whether a </w:t>
                      </w:r>
                      <w:proofErr w:type="spellStart"/>
                      <w:r>
                        <w:rPr>
                          <w:rFonts w:ascii="Arial" w:hAnsi="Arial" w:cs="Arial"/>
                          <w:bCs/>
                        </w:rPr>
                        <w:t>neighbor</w:t>
                      </w:r>
                      <w:proofErr w:type="spellEnd"/>
                      <w:r>
                        <w:rPr>
                          <w:rFonts w:ascii="Arial" w:hAnsi="Arial" w:cs="Arial"/>
                          <w:bCs/>
                        </w:rPr>
                        <w:t xml:space="preserve"> cell, included as part of </w:t>
                      </w:r>
                      <w:proofErr w:type="spellStart"/>
                      <w:r>
                        <w:rPr>
                          <w:rFonts w:ascii="Arial" w:hAnsi="Arial" w:cs="Arial"/>
                          <w:bCs/>
                        </w:rPr>
                        <w:t>neighbor</w:t>
                      </w:r>
                      <w:proofErr w:type="spellEnd"/>
                      <w:r>
                        <w:rPr>
                          <w:rFonts w:ascii="Arial" w:hAnsi="Arial" w:cs="Arial"/>
                          <w:bCs/>
                        </w:rPr>
                        <w:t xml:space="preserve"> cell measurement result, is associated to a CHO candidate target cell or not, RAN2 waits RAN3 to confirm whether the source cell can keep the UE context, at least up to the point the RLF-report is received by the source cell</w:t>
                      </w:r>
                    </w:p>
                    <w:p w:rsidR="00CD72A5" w:rsidRPr="00CD72A5" w:rsidRDefault="00CD72A5" w:rsidP="00CD72A5">
                      <w:pPr>
                        <w:rPr>
                          <w:rFonts w:ascii="Arial" w:eastAsiaTheme="minorEastAsia" w:hAnsi="Arial" w:cs="Arial"/>
                          <w:bCs/>
                          <w:lang w:eastAsia="zh-CN"/>
                        </w:rPr>
                      </w:pPr>
                      <w:r>
                        <w:rPr>
                          <w:rFonts w:ascii="Arial" w:eastAsiaTheme="minorEastAsia" w:hAnsi="Arial" w:cs="Arial"/>
                          <w:bCs/>
                          <w:lang w:eastAsia="zh-CN"/>
                        </w:rPr>
                        <w:t xml:space="preserve">Hence, RAN2 would like to ask RAN3 </w:t>
                      </w:r>
                      <w:r>
                        <w:rPr>
                          <w:rFonts w:ascii="Arial" w:hAnsi="Arial" w:cs="Arial"/>
                          <w:bCs/>
                        </w:rPr>
                        <w:t>whether the source cell will keep the UE context, at least until the RLF-report is received by the source cell.</w:t>
                      </w:r>
                    </w:p>
                  </w:txbxContent>
                </v:textbox>
                <w10:anchorlock/>
              </v:shape>
            </w:pict>
          </mc:Fallback>
        </mc:AlternateContent>
      </w:r>
    </w:p>
    <w:p w:rsidR="00CD72A5" w:rsidRDefault="00CD72A5" w:rsidP="00CD72A5">
      <w:pPr>
        <w:rPr>
          <w:lang w:eastAsia="zh-CN"/>
        </w:rPr>
      </w:pPr>
      <w:r>
        <w:rPr>
          <w:lang w:eastAsia="zh-CN"/>
        </w:rPr>
        <w:t>In this specific case, it is up to the network node to decide whether to support th</w:t>
      </w:r>
      <w:r w:rsidR="00E473AD">
        <w:rPr>
          <w:lang w:eastAsia="zh-CN"/>
        </w:rPr>
        <w:t>is</w:t>
      </w:r>
      <w:r>
        <w:rPr>
          <w:lang w:eastAsia="zh-CN"/>
        </w:rPr>
        <w:t xml:space="preserve"> kind </w:t>
      </w:r>
      <w:r w:rsidR="00E473AD">
        <w:rPr>
          <w:lang w:eastAsia="zh-CN"/>
        </w:rPr>
        <w:t>of CHO candidate optimisation. If this is supported, the node can store the information and use the C-RNTI and TimeSinceFailure to retrieve the context.</w:t>
      </w:r>
    </w:p>
    <w:p w:rsidR="00BF5D6A" w:rsidRDefault="004C402D" w:rsidP="00CD72A5">
      <w:pPr>
        <w:rPr>
          <w:lang w:eastAsia="zh-CN"/>
        </w:rPr>
      </w:pPr>
      <w:r>
        <w:rPr>
          <w:lang w:eastAsia="zh-CN"/>
        </w:rPr>
        <w:t xml:space="preserve">It should further be noted that </w:t>
      </w:r>
      <w:r w:rsidR="00BF5D6A">
        <w:rPr>
          <w:lang w:eastAsia="zh-CN"/>
        </w:rPr>
        <w:t xml:space="preserve">retrieval of information </w:t>
      </w:r>
      <w:r>
        <w:rPr>
          <w:lang w:eastAsia="zh-CN"/>
        </w:rPr>
        <w:t xml:space="preserve">is also possible in the previous serving cell, </w:t>
      </w:r>
      <w:r w:rsidR="00F04AFB">
        <w:rPr>
          <w:lang w:eastAsia="zh-CN"/>
        </w:rPr>
        <w:t xml:space="preserve">if failure happens shortly after handover and </w:t>
      </w:r>
      <w:r>
        <w:rPr>
          <w:lang w:eastAsia="zh-CN"/>
        </w:rPr>
        <w:t>in case handover report is sent</w:t>
      </w:r>
      <w:r w:rsidR="00BF5D6A">
        <w:rPr>
          <w:lang w:eastAsia="zh-CN"/>
        </w:rPr>
        <w:t>. This could be done in two ways:</w:t>
      </w:r>
    </w:p>
    <w:p w:rsidR="00BF5D6A" w:rsidRDefault="00BF5D6A" w:rsidP="00BF5D6A">
      <w:pPr>
        <w:pStyle w:val="ListParagraph"/>
        <w:numPr>
          <w:ilvl w:val="0"/>
          <w:numId w:val="38"/>
        </w:numPr>
        <w:rPr>
          <w:lang w:eastAsia="zh-CN"/>
        </w:rPr>
      </w:pPr>
      <w:r>
        <w:rPr>
          <w:lang w:eastAsia="zh-CN"/>
        </w:rPr>
        <w:t>using the CRNTI that was used in the preparation of the last successful handover</w:t>
      </w:r>
      <w:r w:rsidR="00F04AFB">
        <w:rPr>
          <w:lang w:eastAsia="zh-CN"/>
        </w:rPr>
        <w:t xml:space="preserve"> to identify a specific UE context</w:t>
      </w:r>
      <w:r>
        <w:rPr>
          <w:lang w:eastAsia="zh-CN"/>
        </w:rPr>
        <w:t>, or</w:t>
      </w:r>
    </w:p>
    <w:p w:rsidR="004C402D" w:rsidRDefault="00BF5D6A" w:rsidP="00BF5D6A">
      <w:pPr>
        <w:pStyle w:val="ListParagraph"/>
        <w:numPr>
          <w:ilvl w:val="0"/>
          <w:numId w:val="38"/>
        </w:numPr>
        <w:rPr>
          <w:lang w:eastAsia="zh-CN"/>
        </w:rPr>
      </w:pPr>
      <w:r>
        <w:rPr>
          <w:lang w:eastAsia="zh-CN"/>
        </w:rPr>
        <w:t xml:space="preserve">using the </w:t>
      </w:r>
      <w:r w:rsidRPr="00BF5D6A">
        <w:rPr>
          <w:i/>
          <w:lang w:eastAsia="ja-JP"/>
        </w:rPr>
        <w:t>Mobility Information</w:t>
      </w:r>
      <w:r>
        <w:rPr>
          <w:lang w:eastAsia="ja-JP"/>
        </w:rPr>
        <w:t xml:space="preserve"> IE</w:t>
      </w:r>
      <w:r>
        <w:rPr>
          <w:lang w:eastAsia="zh-CN"/>
        </w:rPr>
        <w:t xml:space="preserve">. This used by the </w:t>
      </w:r>
      <w:r w:rsidR="00F04AFB">
        <w:rPr>
          <w:lang w:eastAsia="zh-CN"/>
        </w:rPr>
        <w:t xml:space="preserve">source </w:t>
      </w:r>
      <w:r>
        <w:rPr>
          <w:lang w:eastAsia="zh-CN"/>
        </w:rPr>
        <w:t xml:space="preserve">node to form different types of groups, thereby reducing the need to store the full UE context. In the example (CHO candidates) the node </w:t>
      </w:r>
      <w:r w:rsidR="00F04AFB">
        <w:rPr>
          <w:lang w:eastAsia="zh-CN"/>
        </w:rPr>
        <w:t xml:space="preserve">would need to </w:t>
      </w:r>
      <w:r>
        <w:rPr>
          <w:lang w:eastAsia="zh-CN"/>
        </w:rPr>
        <w:t>create different groups also taking the assigned CHO candidate cells into account.</w:t>
      </w:r>
    </w:p>
    <w:p w:rsidR="00542A06" w:rsidRDefault="00542A06" w:rsidP="00542A06">
      <w:pPr>
        <w:rPr>
          <w:lang w:eastAsia="zh-CN"/>
        </w:rPr>
      </w:pPr>
      <w:r>
        <w:rPr>
          <w:lang w:eastAsia="zh-CN"/>
        </w:rPr>
        <w:t>Further, the ability to store does not have to be a yes/no decision. Instead, this is more of a grey area where there could be implementations choosing to enable a certain MRO optimization but only considering this for UEs where the report arrives shortly after the failure. This decision should be left completely up to the RAN node implementation</w:t>
      </w:r>
    </w:p>
    <w:p w:rsidR="00542A06" w:rsidRDefault="00542A06" w:rsidP="00542A06">
      <w:pPr>
        <w:rPr>
          <w:lang w:eastAsia="zh-CN"/>
        </w:rPr>
      </w:pPr>
      <w:r>
        <w:rPr>
          <w:lang w:eastAsia="zh-CN"/>
        </w:rPr>
        <w:t xml:space="preserve">Taking all above into account, it is </w:t>
      </w:r>
      <w:r w:rsidR="005A72EA">
        <w:rPr>
          <w:lang w:eastAsia="zh-CN"/>
        </w:rPr>
        <w:t>impossible</w:t>
      </w:r>
      <w:r>
        <w:rPr>
          <w:lang w:eastAsia="zh-CN"/>
        </w:rPr>
        <w:t xml:space="preserve"> to respond whether a node will store context. Instead, the principle should be that the source node will be able to store sufficient information to support the implemented functionality.</w:t>
      </w:r>
    </w:p>
    <w:p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 xml:space="preserve">4. </w:t>
      </w:r>
      <w:r w:rsidR="001A1F92" w:rsidRPr="007D3E81">
        <w:rPr>
          <w:rFonts w:eastAsia="SimSun"/>
          <w:lang w:eastAsia="zh-CN"/>
        </w:rPr>
        <w:t>Conclusion</w:t>
      </w:r>
    </w:p>
    <w:p w:rsidR="00185A40" w:rsidRPr="00E473AD" w:rsidRDefault="00E473AD" w:rsidP="00223223">
      <w:pPr>
        <w:pStyle w:val="Proposal"/>
        <w:numPr>
          <w:ilvl w:val="0"/>
          <w:numId w:val="0"/>
        </w:numPr>
        <w:rPr>
          <w:b w:val="0"/>
          <w:lang w:eastAsia="zh-CN"/>
        </w:rPr>
      </w:pPr>
      <w:bookmarkStart w:id="7" w:name="_Toc423020280"/>
      <w:bookmarkEnd w:id="7"/>
      <w:r w:rsidRPr="00E473AD">
        <w:rPr>
          <w:b w:val="0"/>
          <w:lang w:eastAsia="zh-CN"/>
        </w:rPr>
        <w:t xml:space="preserve">Based on the discussion above, we propose </w:t>
      </w:r>
      <w:r w:rsidR="005E1873">
        <w:rPr>
          <w:b w:val="0"/>
          <w:lang w:eastAsia="zh-CN"/>
        </w:rPr>
        <w:t xml:space="preserve">to </w:t>
      </w:r>
      <w:r w:rsidRPr="00E473AD">
        <w:rPr>
          <w:b w:val="0"/>
          <w:lang w:eastAsia="zh-CN"/>
        </w:rPr>
        <w:t>respond to RAN2 as follows:</w:t>
      </w:r>
    </w:p>
    <w:bookmarkEnd w:id="0"/>
    <w:p w:rsidR="005E1873" w:rsidRPr="005E1873" w:rsidRDefault="005E1873" w:rsidP="005E1873">
      <w:pPr>
        <w:rPr>
          <w:b/>
          <w:lang w:eastAsia="zh-CN"/>
        </w:rPr>
      </w:pPr>
      <w:r w:rsidRPr="005E1873">
        <w:rPr>
          <w:b/>
          <w:lang w:eastAsia="zh-CN"/>
        </w:rPr>
        <w:t xml:space="preserve">RAN3 agreed that a RAN node implementation is able to store all information that </w:t>
      </w:r>
    </w:p>
    <w:p w:rsidR="005E1873" w:rsidRPr="005E1873" w:rsidRDefault="005E1873" w:rsidP="005E1873">
      <w:pPr>
        <w:pStyle w:val="ListParagraph"/>
        <w:numPr>
          <w:ilvl w:val="0"/>
          <w:numId w:val="40"/>
        </w:numPr>
        <w:rPr>
          <w:b/>
          <w:lang w:eastAsia="zh-CN"/>
        </w:rPr>
      </w:pPr>
      <w:r w:rsidRPr="005E1873">
        <w:rPr>
          <w:b/>
          <w:lang w:eastAsia="zh-CN"/>
        </w:rPr>
        <w:t xml:space="preserve">is required for the supported MRO functionality of this node and </w:t>
      </w:r>
    </w:p>
    <w:p w:rsidR="00E473AD" w:rsidRPr="005E1873" w:rsidRDefault="005E1873" w:rsidP="005E1873">
      <w:pPr>
        <w:pStyle w:val="ListParagraph"/>
        <w:numPr>
          <w:ilvl w:val="0"/>
          <w:numId w:val="40"/>
        </w:numPr>
        <w:rPr>
          <w:b/>
          <w:lang w:eastAsia="zh-CN"/>
        </w:rPr>
      </w:pPr>
      <w:r w:rsidRPr="005E1873">
        <w:rPr>
          <w:b/>
          <w:lang w:eastAsia="zh-CN"/>
        </w:rPr>
        <w:t>is available in this node prior to handover or failure.</w:t>
      </w:r>
    </w:p>
    <w:sectPr w:rsidR="00E473AD" w:rsidRPr="005E1873">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3AA" w:rsidRDefault="005B63AA">
      <w:r>
        <w:separator/>
      </w:r>
    </w:p>
  </w:endnote>
  <w:endnote w:type="continuationSeparator" w:id="0">
    <w:p w:rsidR="005B63AA" w:rsidRDefault="005B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3AA" w:rsidRDefault="005B63AA">
      <w:r>
        <w:separator/>
      </w:r>
    </w:p>
  </w:footnote>
  <w:footnote w:type="continuationSeparator" w:id="0">
    <w:p w:rsidR="005B63AA" w:rsidRDefault="005B63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60FE4"/>
    <w:multiLevelType w:val="hybridMultilevel"/>
    <w:tmpl w:val="7BB66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2F446DF"/>
    <w:multiLevelType w:val="multilevel"/>
    <w:tmpl w:val="12F446DF"/>
    <w:lvl w:ilvl="0">
      <w:start w:val="1"/>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226397A"/>
    <w:multiLevelType w:val="hybridMultilevel"/>
    <w:tmpl w:val="073CD2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6AC44139"/>
    <w:multiLevelType w:val="hybridMultilevel"/>
    <w:tmpl w:val="8264BDF0"/>
    <w:lvl w:ilvl="0" w:tplc="DC4276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84E54"/>
    <w:multiLevelType w:val="hybridMultilevel"/>
    <w:tmpl w:val="7FF08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4"/>
  </w:num>
  <w:num w:numId="4">
    <w:abstractNumId w:val="25"/>
  </w:num>
  <w:num w:numId="5">
    <w:abstractNumId w:val="19"/>
  </w:num>
  <w:num w:numId="6">
    <w:abstractNumId w:val="1"/>
  </w:num>
  <w:num w:numId="7">
    <w:abstractNumId w:val="6"/>
  </w:num>
  <w:num w:numId="8">
    <w:abstractNumId w:val="15"/>
  </w:num>
  <w:num w:numId="9">
    <w:abstractNumId w:val="17"/>
  </w:num>
  <w:num w:numId="10">
    <w:abstractNumId w:val="16"/>
  </w:num>
  <w:num w:numId="11">
    <w:abstractNumId w:val="13"/>
  </w:num>
  <w:num w:numId="12">
    <w:abstractNumId w:val="21"/>
  </w:num>
  <w:num w:numId="13">
    <w:abstractNumId w:val="8"/>
  </w:num>
  <w:num w:numId="14">
    <w:abstractNumId w:val="18"/>
  </w:num>
  <w:num w:numId="15">
    <w:abstractNumId w:val="20"/>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7"/>
  </w:num>
  <w:num w:numId="37">
    <w:abstractNumId w:val="0"/>
  </w:num>
  <w:num w:numId="38">
    <w:abstractNumId w:val="22"/>
  </w:num>
  <w:num w:numId="39">
    <w:abstractNumId w:val="23"/>
  </w:num>
  <w:num w:numId="4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708"/>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02D"/>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A0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2EA"/>
    <w:rsid w:val="005A77C6"/>
    <w:rsid w:val="005B0621"/>
    <w:rsid w:val="005B142A"/>
    <w:rsid w:val="005B17D5"/>
    <w:rsid w:val="005B21D8"/>
    <w:rsid w:val="005B286F"/>
    <w:rsid w:val="005B288E"/>
    <w:rsid w:val="005B5098"/>
    <w:rsid w:val="005B57AD"/>
    <w:rsid w:val="005B63AA"/>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873"/>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936"/>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853"/>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47A"/>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71C"/>
    <w:rsid w:val="00807E69"/>
    <w:rsid w:val="00811EB2"/>
    <w:rsid w:val="00814156"/>
    <w:rsid w:val="0081673E"/>
    <w:rsid w:val="0082115A"/>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785"/>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2E2"/>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F44"/>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1A81"/>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D6A"/>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2A5"/>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6E3"/>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3AD"/>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4AFB"/>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CD72A5"/>
    <w:pPr>
      <w:overflowPunct w:val="0"/>
      <w:autoSpaceDE w:val="0"/>
      <w:autoSpaceDN w:val="0"/>
      <w:adjustRightInd w:val="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2021-03-26T07:59:00Z</dcterms:created>
  <dcterms:modified xsi:type="dcterms:W3CDTF">2021-05-06T14:28:00Z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(3)oIupg/XttNKcEZ+WUR2CpRNRtJiLYXw/C0Tfya9sywaBsAzFOA20H3BfSISuCrBsab4B6Us/
JD6JgaLZuprr7EyXkpHXhDXcbLF0iS6mDuuGuvf6/rgnTOxEqZdUMsAKgWC75z6EVNGZOVy1
FRyxv13w4CAzcq4ZBEToFuH1LnqsnySnDSmZHPUTXeRYfjiJYHAY5eCS4mBbNqf76s5im2dc
oqWICojh52lKtZh/r2</vt:lpwstr>
  </property>
  <property fmtid="{D5CDD505-2E9C-101B-9397-08002B2CF9AE}" pid="17" name="_2015_ms_pID_7253431">
    <vt:lpwstr>iaujsOAFTcLbzZzcAB+Uu/0AK1Gi/ztZ8//Ca2brAgvek5/nN/CCCA
30qVObavksfDuLWZCqO0KyClHYyOBmutaLOAIBgs/owB210rg441R/tzmaQVt2U7tSd/EFSz
e6Wk+bRVEYeGpDFT9MhnSNKZzKDA2C5v7dwYusb3SAeP1OWy2q+4z8FOwJUNxX9TXWi1sQNW
59yV0cNrZWJQ2cE/NI8iwI3HlUouQmhklmG2</vt:lpwstr>
  </property>
  <property fmtid="{D5CDD505-2E9C-101B-9397-08002B2CF9AE}" pid="18" name="_2015_ms_pID_7253432">
    <vt:lpwstr>8g==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